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1" w:line="240"/>
        <w:ind w:right="0" w:left="0" w:firstLine="0"/>
        <w:jc w:val="center"/>
        <w:rPr>
          <w:rFonts w:ascii="Arial" w:hAnsi="Arial" w:cs="Arial" w:eastAsia="Arial"/>
          <w:color w:val="17365D"/>
          <w:spacing w:val="0"/>
          <w:position w:val="0"/>
          <w:sz w:val="20"/>
          <w:shd w:fill="FFFFFF" w:val="clear"/>
        </w:rPr>
      </w:pPr>
      <w:r>
        <w:object w:dxaOrig="3173" w:dyaOrig="2304">
          <v:rect xmlns:o="urn:schemas-microsoft-com:office:office" xmlns:v="urn:schemas-microsoft-com:vml" id="rectole0000000000" style="width:158.650000pt;height:11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17365D"/>
          <w:spacing w:val="0"/>
          <w:position w:val="0"/>
          <w:sz w:val="20"/>
          <w:shd w:fill="FFFFFF" w:val="clear"/>
        </w:rPr>
        <w:t xml:space="preserve">Drodzy Rodzice!</w:t>
      </w:r>
    </w:p>
    <w:p>
      <w:pPr>
        <w:spacing w:before="0" w:after="121" w:line="240"/>
        <w:ind w:right="0" w:left="0" w:firstLine="708"/>
        <w:jc w:val="center"/>
        <w:rPr>
          <w:rFonts w:ascii="Arial" w:hAnsi="Arial" w:cs="Arial" w:eastAsia="Arial"/>
          <w:color w:val="17365D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0"/>
          <w:shd w:fill="FFFFFF" w:val="clear"/>
        </w:rPr>
        <w:t xml:space="preserve">Oto lista, która pomo</w:t>
      </w:r>
      <w:r>
        <w:rPr>
          <w:rFonts w:ascii="Arial" w:hAnsi="Arial" w:cs="Arial" w:eastAsia="Arial"/>
          <w:color w:val="17365D"/>
          <w:spacing w:val="0"/>
          <w:position w:val="0"/>
          <w:sz w:val="20"/>
          <w:shd w:fill="FFFFFF" w:val="clear"/>
        </w:rPr>
        <w:t xml:space="preserve">że Wam skompletować szkolną wyprawkę dla  Waszego dziecka rozpoczynającego swoją przygodę ze szkołą.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Wyprawka ucznia klasy I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    na rok szkolny 2020/2021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360"/>
        <w:ind w:right="0" w:left="36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STRÓJ SZKOLNY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CODZIENNY I GALOWY</w:t>
      </w:r>
    </w:p>
    <w:p>
      <w:pPr>
        <w:spacing w:before="0" w:after="0" w:line="276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uroczysto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szkolne zgodnie ze Statutem Szkoły obowiązuje str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ój galowy: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dla dziewczynek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ła, koszulowa bluzka i granatowa lub czarna 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ódniczka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dla 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łopc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 koszula i czarne lub granatowe spodnie w klasycznym fasonie (nie dresowe)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strój codzienny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ubrania czyste, wygodne, obuwie zmienne 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ęcia sportowe: woreczek gimnastyczny, koszulka, wygodne spodenki, obuwie sportowe na gumowej podeszwie.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 basen: strój,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ęcznik, czepek, klapki + torba/worek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PRZYBORY I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ŁY DO PISANIA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zeszyt 16 - kartkowy w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ąskie linie - 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o wyraźnie zr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żnicowanej liniaturze</w:t>
      </w:r>
      <w:r>
        <w:rPr>
          <w:rFonts w:ascii="Verdana" w:hAnsi="Verdana" w:cs="Verdana" w:eastAsia="Verdana"/>
          <w:color w:val="333333"/>
          <w:spacing w:val="0"/>
          <w:position w:val="0"/>
          <w:sz w:val="19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lub linie kolorowe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zeszyt 16 - kartkowy w kratk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(matematyka)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bez dodatkowych kolor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zeszyt 16 kartkowy w kratk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(zeszyt ucznia) z  wpisanymi na pierwszej stronie danymi: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i nazwisko dziecka, numery kontaktowe rodzic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lub opiekunów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zeszyt 32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kartkowy, czysty do wklejania tekst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wierszy i piosenek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zawarto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pi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órnika: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pióro lub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ługopis, 2 oł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ówki, kredki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ówkowe, gumka, temperówka z pojemniczkiem, klej w sztyfcie, dobrze 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nożyczki z zaokrąglonymi czubkami, linijka 20 cm;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720" w:firstLine="0"/>
        <w:jc w:val="center"/>
        <w:rPr>
          <w:rFonts w:ascii="Arial" w:hAnsi="Arial" w:cs="Arial" w:eastAsia="Arial"/>
          <w:color w:val="2F2F2F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ŁY NA ZAJĘCIA PLASTYCZNE I TECHNICZNE: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blok rysunkowy formatu A4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kolorowe kartki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blok techniczny kolorowy.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blok techniczny bia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kartki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farby plakatowe +  2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ędzle /cienki i gruby/   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plastelina 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kredki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świecowe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klej magic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zeszyt papierów kolorowych bez kleju A4 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ryza papieru ksero A4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INNE POTRZEBNE RZECZY: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trzy teczki na gumk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  (prace plastyczne,  j. angielski, karty pracy)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ęcznik papierowy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 pude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łko chusteczek higienicznych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Wszystkie pomoce i materia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ły, kt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óre dzieci przynios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ą do klasy, proszę o czytelne podpisanie.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Sugestie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 Wybieramy dla dziecka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ówki grube, cienkie i trójk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ątne wyprofilowane, tak, aby ułatwić prawidłowy chwyt (stopniowe przechodzenie z oł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ówków/kredek grubych do cie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ńszych).  Nie wybieramy  oł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ówków twardych z oznaczeniem H, a raczej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ówki HB lub 2B.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